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AAFB" w14:textId="77777777" w:rsidR="00D872A3" w:rsidRDefault="00D872A3" w:rsidP="00D872A3">
      <w:pPr>
        <w:spacing w:after="240" w:line="336" w:lineRule="atLeast"/>
        <w:rPr>
          <w:rFonts w:ascii="Montserrat" w:eastAsia="Times New Roman" w:hAnsi="Montserrat" w:cs="Arial"/>
          <w:color w:val="58595B"/>
          <w:lang w:eastAsia="en-GB"/>
        </w:rPr>
      </w:pPr>
    </w:p>
    <w:p w14:paraId="7AC22889" w14:textId="77777777" w:rsidR="00D872A3" w:rsidRPr="00D872A3" w:rsidRDefault="00D872A3" w:rsidP="00D872A3">
      <w:pPr>
        <w:spacing w:after="240" w:line="336" w:lineRule="atLeast"/>
        <w:rPr>
          <w:rFonts w:ascii="Bookman Old Style" w:eastAsia="Times New Roman" w:hAnsi="Bookman Old Style" w:cs="Arial"/>
          <w:color w:val="58595B"/>
          <w:sz w:val="32"/>
          <w:szCs w:val="32"/>
          <w:lang w:eastAsia="en-GB"/>
        </w:rPr>
      </w:pPr>
      <w:r w:rsidRPr="00D872A3">
        <w:rPr>
          <w:rFonts w:ascii="Bookman Old Style" w:eastAsia="Times New Roman" w:hAnsi="Bookman Old Style" w:cs="Arial"/>
          <w:color w:val="58595B"/>
          <w:sz w:val="32"/>
          <w:szCs w:val="32"/>
          <w:lang w:eastAsia="en-GB"/>
        </w:rPr>
        <w:t>You are invited to: The teena</w:t>
      </w:r>
      <w:r>
        <w:rPr>
          <w:rFonts w:ascii="Bookman Old Style" w:eastAsia="Times New Roman" w:hAnsi="Bookman Old Style" w:cs="Arial"/>
          <w:color w:val="58595B"/>
          <w:sz w:val="32"/>
          <w:szCs w:val="32"/>
          <w:lang w:eastAsia="en-GB"/>
        </w:rPr>
        <w:t>ge years, parent workshops</w:t>
      </w:r>
    </w:p>
    <w:p w14:paraId="059A094F" w14:textId="77777777" w:rsidR="00D872A3" w:rsidRDefault="00D872A3" w:rsidP="00D872A3">
      <w:pPr>
        <w:spacing w:after="240" w:line="336" w:lineRule="atLeast"/>
        <w:rPr>
          <w:rFonts w:ascii="Montserrat" w:eastAsia="Times New Roman" w:hAnsi="Montserrat" w:cs="Arial"/>
          <w:color w:val="58595B"/>
          <w:lang w:eastAsia="en-GB"/>
        </w:rPr>
      </w:pPr>
      <w:r w:rsidRPr="00CE5099">
        <w:rPr>
          <w:rFonts w:ascii="Montserrat" w:eastAsia="Times New Roman" w:hAnsi="Montserrat" w:cs="Arial"/>
          <w:noProof/>
          <w:color w:val="58595B"/>
          <w:lang w:eastAsia="en-GB"/>
        </w:rPr>
        <w:drawing>
          <wp:anchor distT="0" distB="0" distL="114300" distR="114300" simplePos="0" relativeHeight="251658240" behindDoc="1" locked="0" layoutInCell="1" allowOverlap="1" wp14:anchorId="4F4BA117" wp14:editId="236FC00E">
            <wp:simplePos x="0" y="0"/>
            <wp:positionH relativeFrom="column">
              <wp:posOffset>0</wp:posOffset>
            </wp:positionH>
            <wp:positionV relativeFrom="paragraph">
              <wp:posOffset>1905</wp:posOffset>
            </wp:positionV>
            <wp:extent cx="1247775" cy="1023080"/>
            <wp:effectExtent l="0" t="0" r="0" b="5715"/>
            <wp:wrapTight wrapText="bothSides">
              <wp:wrapPolygon edited="0">
                <wp:start x="0" y="0"/>
                <wp:lineTo x="0" y="21318"/>
                <wp:lineTo x="21105" y="21318"/>
                <wp:lineTo x="21105" y="0"/>
                <wp:lineTo x="0" y="0"/>
              </wp:wrapPolygon>
            </wp:wrapTight>
            <wp:docPr id="1" name="Picture 1" descr="Teenager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agers on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3C0CB" w14:textId="77777777" w:rsidR="00D872A3" w:rsidRDefault="00D872A3" w:rsidP="00D872A3">
      <w:pPr>
        <w:spacing w:after="240" w:line="336" w:lineRule="atLeast"/>
        <w:rPr>
          <w:rFonts w:ascii="Montserrat" w:eastAsia="Times New Roman" w:hAnsi="Montserrat" w:cs="Arial"/>
          <w:color w:val="58595B"/>
          <w:lang w:eastAsia="en-GB"/>
        </w:rPr>
      </w:pPr>
    </w:p>
    <w:p w14:paraId="6AE7DBD9"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Bringing you hope as you chart your way through the challenges of the teenage years and the changes in the parent-child relationship. The seven sessions are designed to help you stay connected with your child through understanding their world and developing good communication skills.</w:t>
      </w:r>
    </w:p>
    <w:p w14:paraId="5BEA0533"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b/>
          <w:bCs/>
          <w:color w:val="58595B"/>
          <w:lang w:eastAsia="en-GB"/>
        </w:rPr>
        <w:t>How does it work?</w:t>
      </w:r>
    </w:p>
    <w:p w14:paraId="3BD6542A"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Sharing ideas with other parents is a key part of the course, and we use case studies and real life scenarios to help ground the material. Each session includes space to plan any changes you want to make in your parenting, and from session 2 there will be an opportunity to discuss how you are getting on with putting this into practice at home.</w:t>
      </w:r>
    </w:p>
    <w:p w14:paraId="2867928C"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b/>
          <w:bCs/>
          <w:color w:val="58595B"/>
          <w:lang w:eastAsia="en-GB"/>
        </w:rPr>
        <w:t>What’s in the course?</w:t>
      </w:r>
    </w:p>
    <w:p w14:paraId="286DBCAF"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We start by looking at the change from childhood to adolescence and what we hope to gain from the course. We explore how we can meet our child’s emotional needs, taking into account their temperament and their ‘love languages’.</w:t>
      </w:r>
    </w:p>
    <w:p w14:paraId="14EC456B"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Stepping into our teenager’s shoes and thinking how we can help with the many changes they’re experiencing is next: the challenge is to stay connected! We consider our parenting style, its effect on our teenager, and learn about the power of a consistent approach. Encouraging responsibility and negotiating house rules are part of the programme too!</w:t>
      </w:r>
    </w:p>
    <w:p w14:paraId="472FC40E"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One of the biggest challenges for parents of teenagers is communication. We look at improving it by listening well, using empathy and understanding body language. How we handle conflict is also crucial, choosing your battles, checking out your anger style, and developing negotiation skills.</w:t>
      </w:r>
    </w:p>
    <w:p w14:paraId="0E81310B"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The final session helps us look at how we unwittingly contribute to negative behaviour by our responses. We also consider the values we want to pass on to our kids and how to build good, lasting memories.</w:t>
      </w:r>
    </w:p>
    <w:p w14:paraId="0D433250" w14:textId="77777777" w:rsidR="00D872A3" w:rsidRPr="00B75E8A" w:rsidRDefault="00D872A3" w:rsidP="00D872A3">
      <w:pPr>
        <w:spacing w:after="240"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b/>
          <w:bCs/>
          <w:color w:val="58595B"/>
          <w:lang w:eastAsia="en-GB"/>
        </w:rPr>
        <w:t>Session titles:</w:t>
      </w:r>
    </w:p>
    <w:p w14:paraId="65EDED32"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1 – Temperament and emotional needs</w:t>
      </w:r>
    </w:p>
    <w:p w14:paraId="73B1719A"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2 – Why it’s tough being a teenager</w:t>
      </w:r>
    </w:p>
    <w:p w14:paraId="796003FF"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3 – Parenting styles</w:t>
      </w:r>
    </w:p>
    <w:p w14:paraId="738652EE"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4 – Communication</w:t>
      </w:r>
    </w:p>
    <w:p w14:paraId="03287A10"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5 – Handling conflict</w:t>
      </w:r>
    </w:p>
    <w:p w14:paraId="42DF6631"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 6 – The Big issues</w:t>
      </w:r>
    </w:p>
    <w:p w14:paraId="0F60505B" w14:textId="77777777" w:rsidR="00D872A3" w:rsidRPr="00B75E8A" w:rsidRDefault="00D872A3" w:rsidP="00D872A3">
      <w:pPr>
        <w:numPr>
          <w:ilvl w:val="0"/>
          <w:numId w:val="1"/>
        </w:numPr>
        <w:spacing w:before="100" w:beforeAutospacing="1" w:after="100" w:afterAutospacing="1" w:line="336" w:lineRule="atLeast"/>
        <w:ind w:left="495"/>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Sessions 7 – Building strong families</w:t>
      </w:r>
    </w:p>
    <w:p w14:paraId="7CF76269" w14:textId="5796A1BD" w:rsidR="00500F9A" w:rsidRPr="00B75E8A" w:rsidRDefault="00500F9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lastRenderedPageBreak/>
        <w:t xml:space="preserve">If you would like to attend these </w:t>
      </w:r>
      <w:proofErr w:type="gramStart"/>
      <w:r w:rsidR="00B75E8A">
        <w:rPr>
          <w:rFonts w:ascii="Bookman Old Style" w:eastAsia="Times New Roman" w:hAnsi="Bookman Old Style" w:cs="Arial"/>
          <w:color w:val="58595B"/>
          <w:lang w:eastAsia="en-GB"/>
        </w:rPr>
        <w:t>workshops</w:t>
      </w:r>
      <w:proofErr w:type="gramEnd"/>
      <w:r w:rsidR="00B75E8A">
        <w:rPr>
          <w:rFonts w:ascii="Bookman Old Style" w:eastAsia="Times New Roman" w:hAnsi="Bookman Old Style" w:cs="Arial"/>
          <w:color w:val="58595B"/>
          <w:lang w:eastAsia="en-GB"/>
        </w:rPr>
        <w:t xml:space="preserve"> they will be held at </w:t>
      </w:r>
      <w:r w:rsidR="00155513">
        <w:rPr>
          <w:rFonts w:ascii="Bookman Old Style" w:eastAsia="Times New Roman" w:hAnsi="Bookman Old Style" w:cs="Arial"/>
          <w:color w:val="58595B"/>
          <w:lang w:eastAsia="en-GB"/>
        </w:rPr>
        <w:t xml:space="preserve">Ysgol Morgan </w:t>
      </w:r>
      <w:proofErr w:type="spellStart"/>
      <w:r w:rsidR="00155513">
        <w:rPr>
          <w:rFonts w:ascii="Bookman Old Style" w:eastAsia="Times New Roman" w:hAnsi="Bookman Old Style" w:cs="Arial"/>
          <w:color w:val="58595B"/>
          <w:lang w:eastAsia="en-GB"/>
        </w:rPr>
        <w:t>Llwyd</w:t>
      </w:r>
      <w:proofErr w:type="spellEnd"/>
      <w:r w:rsidRPr="00B75E8A">
        <w:rPr>
          <w:rFonts w:ascii="Bookman Old Style" w:eastAsia="Times New Roman" w:hAnsi="Bookman Old Style" w:cs="Arial"/>
          <w:color w:val="58595B"/>
          <w:lang w:eastAsia="en-GB"/>
        </w:rPr>
        <w:t xml:space="preserve"> in </w:t>
      </w:r>
      <w:r w:rsidR="00155513">
        <w:rPr>
          <w:rFonts w:ascii="Bookman Old Style" w:eastAsia="Times New Roman" w:hAnsi="Bookman Old Style" w:cs="Arial"/>
          <w:color w:val="58595B"/>
          <w:lang w:eastAsia="en-GB"/>
        </w:rPr>
        <w:t xml:space="preserve">April </w:t>
      </w:r>
      <w:bookmarkStart w:id="0" w:name="_GoBack"/>
      <w:bookmarkEnd w:id="0"/>
      <w:r w:rsidRPr="00B75E8A">
        <w:rPr>
          <w:rFonts w:ascii="Bookman Old Style" w:eastAsia="Times New Roman" w:hAnsi="Bookman Old Style" w:cs="Arial"/>
          <w:color w:val="58595B"/>
          <w:lang w:eastAsia="en-GB"/>
        </w:rPr>
        <w:t>2024. Please fill in your expression of interest below</w:t>
      </w:r>
      <w:r w:rsidR="00B75E8A" w:rsidRPr="00B75E8A">
        <w:rPr>
          <w:rFonts w:ascii="Bookman Old Style" w:eastAsia="Times New Roman" w:hAnsi="Bookman Old Style" w:cs="Arial"/>
          <w:color w:val="58595B"/>
          <w:lang w:eastAsia="en-GB"/>
        </w:rPr>
        <w:t>, hand the form back to your school</w:t>
      </w:r>
      <w:r w:rsidRPr="00B75E8A">
        <w:rPr>
          <w:rFonts w:ascii="Bookman Old Style" w:eastAsia="Times New Roman" w:hAnsi="Bookman Old Style" w:cs="Arial"/>
          <w:color w:val="58595B"/>
          <w:lang w:eastAsia="en-GB"/>
        </w:rPr>
        <w:t xml:space="preserve"> and we will be in touch.</w:t>
      </w:r>
    </w:p>
    <w:p w14:paraId="39874E8E" w14:textId="77777777" w:rsidR="00500F9A" w:rsidRPr="00B75E8A" w:rsidRDefault="00500F9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w:t>
      </w:r>
    </w:p>
    <w:p w14:paraId="16DD7388" w14:textId="77777777" w:rsidR="00500F9A" w:rsidRPr="00B75E8A" w:rsidRDefault="00500F9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 xml:space="preserve">I would like to attend the teenage </w:t>
      </w:r>
      <w:r w:rsidR="00B75E8A" w:rsidRPr="00B75E8A">
        <w:rPr>
          <w:rFonts w:ascii="Bookman Old Style" w:eastAsia="Times New Roman" w:hAnsi="Bookman Old Style" w:cs="Arial"/>
          <w:color w:val="58595B"/>
          <w:lang w:eastAsia="en-GB"/>
        </w:rPr>
        <w:t>year’s</w:t>
      </w:r>
      <w:r w:rsidRPr="00B75E8A">
        <w:rPr>
          <w:rFonts w:ascii="Bookman Old Style" w:eastAsia="Times New Roman" w:hAnsi="Bookman Old Style" w:cs="Arial"/>
          <w:color w:val="58595B"/>
          <w:lang w:eastAsia="en-GB"/>
        </w:rPr>
        <w:t xml:space="preserve"> parent workshops</w:t>
      </w:r>
    </w:p>
    <w:p w14:paraId="48A5E8FF" w14:textId="77777777" w:rsidR="00B75E8A" w:rsidRP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Name:</w:t>
      </w:r>
    </w:p>
    <w:p w14:paraId="1FE84825" w14:textId="77777777" w:rsidR="00B75E8A" w:rsidRP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Address:</w:t>
      </w:r>
    </w:p>
    <w:p w14:paraId="2D246E30" w14:textId="77777777" w:rsidR="00B75E8A" w:rsidRP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p>
    <w:p w14:paraId="69A3EA7F" w14:textId="77777777" w:rsidR="00B75E8A" w:rsidRP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Contact number</w:t>
      </w:r>
    </w:p>
    <w:p w14:paraId="5067F9C7" w14:textId="77777777" w:rsid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r w:rsidRPr="00B75E8A">
        <w:rPr>
          <w:rFonts w:ascii="Bookman Old Style" w:eastAsia="Times New Roman" w:hAnsi="Bookman Old Style" w:cs="Arial"/>
          <w:color w:val="58595B"/>
          <w:lang w:eastAsia="en-GB"/>
        </w:rPr>
        <w:t xml:space="preserve">Email address: </w:t>
      </w:r>
    </w:p>
    <w:p w14:paraId="3FE639DC" w14:textId="77777777" w:rsid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p>
    <w:p w14:paraId="7E467C58" w14:textId="77777777" w:rsidR="00B75E8A" w:rsidRPr="00B75E8A" w:rsidRDefault="00B75E8A" w:rsidP="00500F9A">
      <w:pPr>
        <w:spacing w:before="100" w:beforeAutospacing="1" w:after="100" w:afterAutospacing="1" w:line="336" w:lineRule="atLeast"/>
        <w:rPr>
          <w:rFonts w:ascii="Bookman Old Style" w:eastAsia="Times New Roman" w:hAnsi="Bookman Old Style" w:cs="Arial"/>
          <w:color w:val="58595B"/>
          <w:lang w:eastAsia="en-GB"/>
        </w:rPr>
      </w:pPr>
    </w:p>
    <w:p w14:paraId="711D2A7C"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06F3D442"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5322892B"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6EF5225E"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4D3451A1"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6B2C7377" w14:textId="77777777" w:rsidR="00500F9A"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23567E3D" w14:textId="77777777" w:rsidR="00500F9A" w:rsidRPr="00A55E34" w:rsidRDefault="00500F9A" w:rsidP="00500F9A">
      <w:pPr>
        <w:spacing w:before="100" w:beforeAutospacing="1" w:after="100" w:afterAutospacing="1" w:line="336" w:lineRule="atLeast"/>
        <w:rPr>
          <w:rFonts w:ascii="Montserrat" w:eastAsia="Times New Roman" w:hAnsi="Montserrat" w:cs="Arial"/>
          <w:color w:val="58595B"/>
          <w:lang w:eastAsia="en-GB"/>
        </w:rPr>
      </w:pPr>
    </w:p>
    <w:p w14:paraId="4835B41D" w14:textId="77777777" w:rsidR="008370E2" w:rsidRDefault="008370E2"/>
    <w:sectPr w:rsidR="008370E2" w:rsidSect="00CE5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62A4"/>
    <w:multiLevelType w:val="multilevel"/>
    <w:tmpl w:val="0CBA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A3"/>
    <w:rsid w:val="00155513"/>
    <w:rsid w:val="00500F9A"/>
    <w:rsid w:val="008370E2"/>
    <w:rsid w:val="00B75E8A"/>
    <w:rsid w:val="00D872A3"/>
    <w:rsid w:val="00E8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00D6"/>
  <w15:chartTrackingRefBased/>
  <w15:docId w15:val="{16C6B8FD-B545-4874-B8CB-A9B3BD7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72c9fe-49a0-4afe-91fe-4720acf46d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C280E8314B0438E970AB030983991" ma:contentTypeVersion="18" ma:contentTypeDescription="Create a new document." ma:contentTypeScope="" ma:versionID="4d24e79c91aee09754790e88009a9dc8">
  <xsd:schema xmlns:xsd="http://www.w3.org/2001/XMLSchema" xmlns:xs="http://www.w3.org/2001/XMLSchema" xmlns:p="http://schemas.microsoft.com/office/2006/metadata/properties" xmlns:ns3="ec72c9fe-49a0-4afe-91fe-4720acf46d1b" xmlns:ns4="989703de-264a-4efe-9d34-c739fd3f721a" targetNamespace="http://schemas.microsoft.com/office/2006/metadata/properties" ma:root="true" ma:fieldsID="49c32d4a55e4fa69b40c9c5df718e22e" ns3:_="" ns4:_="">
    <xsd:import namespace="ec72c9fe-49a0-4afe-91fe-4720acf46d1b"/>
    <xsd:import namespace="989703de-264a-4efe-9d34-c739fd3f72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DateTaken" minOccurs="0"/>
                <xsd:element ref="ns3:MediaServiceObjectDetectorVersions" minOccurs="0"/>
                <xsd:element ref="ns3:MediaServiceLocation" minOccurs="0"/>
                <xsd:element ref="ns3:_activity"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c9fe-49a0-4afe-91fe-4720acf46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703de-264a-4efe-9d34-c739fd3f721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287FE-BBF9-4473-AED5-BC7A0F38936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989703de-264a-4efe-9d34-c739fd3f721a"/>
    <ds:schemaRef ds:uri="http://www.w3.org/XML/1998/namespace"/>
    <ds:schemaRef ds:uri="ec72c9fe-49a0-4afe-91fe-4720acf46d1b"/>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95C8F3-D593-4441-9162-64812C4FE468}">
  <ds:schemaRefs>
    <ds:schemaRef ds:uri="http://schemas.microsoft.com/sharepoint/v3/contenttype/forms"/>
  </ds:schemaRefs>
</ds:datastoreItem>
</file>

<file path=customXml/itemProps3.xml><?xml version="1.0" encoding="utf-8"?>
<ds:datastoreItem xmlns:ds="http://schemas.openxmlformats.org/officeDocument/2006/customXml" ds:itemID="{6BCAE87E-3726-4255-8CEA-7276F88E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c9fe-49a0-4afe-91fe-4720acf46d1b"/>
    <ds:schemaRef ds:uri="989703de-264a-4efe-9d34-c739fd3f7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Thomas</dc:creator>
  <cp:keywords/>
  <dc:description/>
  <cp:lastModifiedBy>N Davies (Ysgol Bodhyfryd)</cp:lastModifiedBy>
  <cp:revision>2</cp:revision>
  <dcterms:created xsi:type="dcterms:W3CDTF">2024-02-28T17:58:00Z</dcterms:created>
  <dcterms:modified xsi:type="dcterms:W3CDTF">2024-02-28T17:58:00Z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0x010100BA1C280E8314B0438E970AB030983991</vt:lpwstr>
  </property>
</Properties>
</file>